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numPr>
          <w:ilvl w:val="0"/>
          <w:numId w:val="0"/>
        </w:numPr>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库尔勒市焉耆县农村燃气配气价格定价</w:t>
      </w:r>
    </w:p>
    <w:p>
      <w:pPr>
        <w:numPr>
          <w:ilvl w:val="0"/>
          <w:numId w:val="0"/>
        </w:numPr>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成本监审结论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b w:val="0"/>
          <w:bCs/>
          <w:color w:val="auto"/>
          <w:sz w:val="32"/>
          <w:szCs w:val="32"/>
          <w:lang w:val="en-US" w:eastAsia="zh-CN"/>
        </w:rPr>
      </w:pPr>
      <w:r>
        <w:rPr>
          <w:rFonts w:hint="eastAsia" w:ascii="Times New Roman" w:hAnsi="Times New Roman" w:eastAsia="方正仿宋_GBK" w:cs="Times New Roman"/>
          <w:b w:val="0"/>
          <w:bCs/>
          <w:color w:val="auto"/>
          <w:sz w:val="32"/>
          <w:szCs w:val="32"/>
          <w:lang w:val="en-US" w:eastAsia="zh-CN"/>
        </w:rPr>
        <w:t>依据《价格法》</w:t>
      </w:r>
      <w:r>
        <w:rPr>
          <w:rFonts w:hint="eastAsia" w:ascii="仿宋_GB2312" w:hAnsi="仿宋_GB2312" w:eastAsia="仿宋_GB2312" w:cs="仿宋_GB2312"/>
          <w:sz w:val="32"/>
          <w:szCs w:val="32"/>
          <w:lang w:val="en-US" w:eastAsia="zh-CN"/>
        </w:rPr>
        <w:t>《政府制定价格成本监审办法》、《新疆维吾尔自治区定价成本监审目录》、《自治区管道燃气配气定价成本监审暂行办法》和《新疆维吾尔自治区政府制定价格成本监审引入第三方审核服务暂行办法》等相关规定，</w:t>
      </w:r>
      <w:r>
        <w:rPr>
          <w:rFonts w:hint="eastAsia" w:ascii="Times New Roman" w:hAnsi="Times New Roman" w:eastAsia="方正仿宋_GBK" w:cs="Times New Roman"/>
          <w:b w:val="0"/>
          <w:bCs/>
          <w:color w:val="auto"/>
          <w:sz w:val="32"/>
          <w:szCs w:val="32"/>
          <w:lang w:val="en-US" w:eastAsia="zh-CN"/>
        </w:rPr>
        <w:t>巴州发展改革委在履行成本监审程序后，</w:t>
      </w:r>
      <w:bookmarkStart w:id="0" w:name="_GoBack"/>
      <w:bookmarkEnd w:id="0"/>
      <w:r>
        <w:rPr>
          <w:rFonts w:hint="eastAsia" w:ascii="Times New Roman" w:hAnsi="Times New Roman" w:eastAsia="方正仿宋_GBK" w:cs="Times New Roman"/>
          <w:b w:val="0"/>
          <w:bCs/>
          <w:color w:val="auto"/>
          <w:sz w:val="32"/>
          <w:szCs w:val="32"/>
          <w:lang w:val="en-US" w:eastAsia="zh-CN"/>
        </w:rPr>
        <w:t>库尔勒市焉耆县农村燃气配气价格定价成本监审结论如下：</w:t>
      </w:r>
    </w:p>
    <w:p>
      <w:pPr>
        <w:keepNext w:val="0"/>
        <w:keepLines w:val="0"/>
        <w:pageBreakBefore w:val="0"/>
        <w:widowControl/>
        <w:kinsoku/>
        <w:wordWrap/>
        <w:overflowPunct/>
        <w:topLinePunct w:val="0"/>
        <w:bidi w:val="0"/>
        <w:adjustRightInd/>
        <w:snapToGrid/>
        <w:spacing w:after="0" w:afterLines="0" w:line="240" w:lineRule="auto"/>
        <w:ind w:firstLine="640" w:firstLineChars="200"/>
        <w:textAlignment w:val="center"/>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巴州火炽燃气有限责任公司管道燃气配气价格定</w:t>
      </w:r>
      <w:r>
        <w:rPr>
          <w:rFonts w:hint="eastAsia" w:ascii="黑体" w:hAnsi="黑体" w:eastAsia="黑体" w:cs="黑体"/>
          <w:sz w:val="32"/>
          <w:szCs w:val="32"/>
          <w:lang w:eastAsia="zh-CN"/>
        </w:rPr>
        <w:t>价</w:t>
      </w:r>
      <w:r>
        <w:rPr>
          <w:rFonts w:hint="eastAsia" w:ascii="黑体" w:hAnsi="黑体" w:eastAsia="黑体" w:cs="黑体"/>
          <w:sz w:val="32"/>
          <w:szCs w:val="32"/>
        </w:rPr>
        <w:t>成本</w:t>
      </w:r>
      <w:r>
        <w:rPr>
          <w:rFonts w:hint="eastAsia" w:ascii="黑体" w:hAnsi="黑体" w:eastAsia="黑体" w:cs="黑体"/>
          <w:sz w:val="32"/>
          <w:szCs w:val="32"/>
          <w:lang w:eastAsia="zh-CN"/>
        </w:rPr>
        <w:t>监审结论</w:t>
      </w:r>
    </w:p>
    <w:p>
      <w:pPr>
        <w:keepNext w:val="0"/>
        <w:keepLines w:val="0"/>
        <w:pageBreakBefore w:val="0"/>
        <w:kinsoku/>
        <w:wordWrap/>
        <w:overflowPunct/>
        <w:topLinePunct w:val="0"/>
        <w:bidi w:val="0"/>
        <w:adjustRightInd/>
        <w:snapToGrid/>
        <w:spacing w:before="0" w:beforeLines="0" w:after="0" w:afterLines="0" w:line="240" w:lineRule="auto"/>
        <w:ind w:left="0" w:leftChars="0" w:right="0" w:firstLine="640" w:firstLineChars="200"/>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val="en-US" w:eastAsia="zh-CN"/>
        </w:rPr>
        <w:t>年巴州火炽燃气有限责任公司管道燃气单位配气成本为</w:t>
      </w:r>
      <w:r>
        <w:rPr>
          <w:rFonts w:hint="eastAsia" w:ascii="Times New Roman" w:hAnsi="Times New Roman" w:eastAsia="方正仿宋_GBK" w:cs="Times New Roman"/>
          <w:sz w:val="32"/>
          <w:szCs w:val="32"/>
          <w:lang w:val="en-US" w:eastAsia="zh-CN"/>
        </w:rPr>
        <w:t>0.33</w:t>
      </w:r>
      <w:r>
        <w:rPr>
          <w:rFonts w:hint="default" w:ascii="Times New Roman" w:hAnsi="Times New Roman" w:eastAsia="方正仿宋_GBK" w:cs="Times New Roman"/>
          <w:sz w:val="32"/>
          <w:szCs w:val="32"/>
          <w:lang w:val="en-US" w:eastAsia="zh-CN"/>
        </w:rPr>
        <w:t>元/方，具体情况如下：</w:t>
      </w:r>
    </w:p>
    <w:tbl>
      <w:tblPr>
        <w:tblStyle w:val="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17"/>
        <w:gridCol w:w="1418"/>
        <w:gridCol w:w="1417"/>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center"/>
          </w:tcPr>
          <w:p>
            <w:pPr>
              <w:spacing w:line="440" w:lineRule="exact"/>
              <w:jc w:val="center"/>
              <w:rPr>
                <w:rFonts w:eastAsia="仿宋"/>
                <w:sz w:val="18"/>
                <w:szCs w:val="18"/>
              </w:rPr>
            </w:pPr>
            <w:r>
              <w:rPr>
                <w:rFonts w:eastAsia="仿宋"/>
                <w:sz w:val="18"/>
                <w:szCs w:val="18"/>
              </w:rPr>
              <w:t>项目</w:t>
            </w:r>
          </w:p>
        </w:tc>
        <w:tc>
          <w:tcPr>
            <w:tcW w:w="1417" w:type="dxa"/>
            <w:noWrap w:val="0"/>
            <w:vAlign w:val="center"/>
          </w:tcPr>
          <w:p>
            <w:pPr>
              <w:spacing w:line="440" w:lineRule="exact"/>
              <w:jc w:val="center"/>
              <w:rPr>
                <w:rFonts w:eastAsia="仿宋"/>
                <w:sz w:val="18"/>
                <w:szCs w:val="18"/>
              </w:rPr>
            </w:pPr>
            <w:r>
              <w:rPr>
                <w:rFonts w:eastAsia="仿宋"/>
                <w:sz w:val="18"/>
                <w:szCs w:val="18"/>
              </w:rPr>
              <w:t>20</w:t>
            </w:r>
            <w:r>
              <w:rPr>
                <w:rFonts w:hint="eastAsia" w:eastAsia="仿宋"/>
                <w:sz w:val="18"/>
                <w:szCs w:val="18"/>
              </w:rPr>
              <w:t>20</w:t>
            </w:r>
            <w:r>
              <w:rPr>
                <w:rFonts w:eastAsia="仿宋"/>
                <w:sz w:val="18"/>
                <w:szCs w:val="18"/>
              </w:rPr>
              <w:t>年</w:t>
            </w:r>
          </w:p>
        </w:tc>
        <w:tc>
          <w:tcPr>
            <w:tcW w:w="1418" w:type="dxa"/>
            <w:noWrap w:val="0"/>
            <w:vAlign w:val="center"/>
          </w:tcPr>
          <w:p>
            <w:pPr>
              <w:spacing w:line="440" w:lineRule="exact"/>
              <w:jc w:val="center"/>
              <w:rPr>
                <w:rFonts w:eastAsia="仿宋"/>
                <w:sz w:val="18"/>
                <w:szCs w:val="18"/>
              </w:rPr>
            </w:pPr>
            <w:r>
              <w:rPr>
                <w:rFonts w:eastAsia="仿宋"/>
                <w:sz w:val="18"/>
                <w:szCs w:val="18"/>
              </w:rPr>
              <w:t>20</w:t>
            </w:r>
            <w:r>
              <w:rPr>
                <w:rFonts w:hint="eastAsia" w:eastAsia="仿宋"/>
                <w:sz w:val="18"/>
                <w:szCs w:val="18"/>
              </w:rPr>
              <w:t>21</w:t>
            </w:r>
            <w:r>
              <w:rPr>
                <w:rFonts w:eastAsia="仿宋"/>
                <w:sz w:val="18"/>
                <w:szCs w:val="18"/>
              </w:rPr>
              <w:t>年</w:t>
            </w:r>
          </w:p>
        </w:tc>
        <w:tc>
          <w:tcPr>
            <w:tcW w:w="1417" w:type="dxa"/>
            <w:noWrap w:val="0"/>
            <w:vAlign w:val="center"/>
          </w:tcPr>
          <w:p>
            <w:pPr>
              <w:spacing w:line="440" w:lineRule="exact"/>
              <w:jc w:val="center"/>
              <w:rPr>
                <w:rFonts w:eastAsia="仿宋"/>
                <w:sz w:val="18"/>
                <w:szCs w:val="18"/>
              </w:rPr>
            </w:pPr>
            <w:r>
              <w:rPr>
                <w:rFonts w:eastAsia="仿宋"/>
                <w:sz w:val="18"/>
                <w:szCs w:val="18"/>
              </w:rPr>
              <w:t>20</w:t>
            </w:r>
            <w:r>
              <w:rPr>
                <w:rFonts w:hint="eastAsia" w:eastAsia="仿宋"/>
                <w:sz w:val="18"/>
                <w:szCs w:val="18"/>
              </w:rPr>
              <w:t>22</w:t>
            </w:r>
            <w:r>
              <w:rPr>
                <w:rFonts w:eastAsia="仿宋"/>
                <w:sz w:val="18"/>
                <w:szCs w:val="18"/>
              </w:rPr>
              <w:t>年</w:t>
            </w:r>
          </w:p>
        </w:tc>
        <w:tc>
          <w:tcPr>
            <w:tcW w:w="1418" w:type="dxa"/>
            <w:noWrap w:val="0"/>
            <w:vAlign w:val="center"/>
          </w:tcPr>
          <w:p>
            <w:pPr>
              <w:spacing w:line="440" w:lineRule="exact"/>
              <w:jc w:val="center"/>
              <w:rPr>
                <w:rFonts w:eastAsia="仿宋"/>
                <w:sz w:val="18"/>
                <w:szCs w:val="18"/>
              </w:rPr>
            </w:pPr>
            <w:r>
              <w:rPr>
                <w:rFonts w:eastAsia="仿宋"/>
                <w:sz w:val="18"/>
                <w:szCs w:val="18"/>
              </w:rPr>
              <w:t>20</w:t>
            </w:r>
            <w:r>
              <w:rPr>
                <w:rFonts w:hint="eastAsia" w:eastAsia="仿宋"/>
                <w:sz w:val="18"/>
                <w:szCs w:val="18"/>
              </w:rPr>
              <w:t>20</w:t>
            </w:r>
            <w:r>
              <w:rPr>
                <w:rFonts w:eastAsia="仿宋"/>
                <w:sz w:val="18"/>
                <w:szCs w:val="18"/>
              </w:rPr>
              <w:t>年-20</w:t>
            </w:r>
            <w:r>
              <w:rPr>
                <w:rFonts w:hint="eastAsia" w:eastAsia="仿宋"/>
                <w:sz w:val="18"/>
                <w:szCs w:val="18"/>
              </w:rPr>
              <w:t>22</w:t>
            </w:r>
            <w:r>
              <w:rPr>
                <w:rFonts w:eastAsia="仿宋"/>
                <w:sz w:val="18"/>
                <w:szCs w:val="18"/>
              </w:rPr>
              <w:t>年平均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eastAsia="仿宋"/>
                <w:sz w:val="18"/>
                <w:szCs w:val="18"/>
              </w:rPr>
            </w:pPr>
            <w:r>
              <w:rPr>
                <w:rFonts w:eastAsia="仿宋"/>
                <w:sz w:val="18"/>
                <w:szCs w:val="18"/>
              </w:rPr>
              <w:t>1、折旧及摊销费和运行维护费</w:t>
            </w:r>
          </w:p>
        </w:tc>
        <w:tc>
          <w:tcPr>
            <w:tcW w:w="1417" w:type="dxa"/>
            <w:noWrap w:val="0"/>
            <w:vAlign w:val="top"/>
          </w:tcPr>
          <w:p>
            <w:pPr>
              <w:spacing w:line="440" w:lineRule="exact"/>
              <w:jc w:val="right"/>
              <w:rPr>
                <w:rFonts w:eastAsia="仿宋"/>
                <w:sz w:val="18"/>
                <w:szCs w:val="18"/>
              </w:rPr>
            </w:pPr>
            <w:r>
              <w:rPr>
                <w:rFonts w:hint="eastAsia" w:eastAsia="仿宋"/>
                <w:sz w:val="18"/>
                <w:szCs w:val="18"/>
              </w:rPr>
              <w:t>5,294,504.51</w:t>
            </w:r>
          </w:p>
        </w:tc>
        <w:tc>
          <w:tcPr>
            <w:tcW w:w="1418" w:type="dxa"/>
            <w:noWrap w:val="0"/>
            <w:vAlign w:val="top"/>
          </w:tcPr>
          <w:p>
            <w:pPr>
              <w:spacing w:line="440" w:lineRule="exact"/>
              <w:jc w:val="right"/>
              <w:rPr>
                <w:rFonts w:eastAsia="仿宋"/>
                <w:sz w:val="18"/>
                <w:szCs w:val="18"/>
              </w:rPr>
            </w:pPr>
            <w:r>
              <w:rPr>
                <w:rFonts w:hint="eastAsia" w:eastAsia="仿宋"/>
                <w:sz w:val="18"/>
                <w:szCs w:val="18"/>
              </w:rPr>
              <w:t>5,758,699.83</w:t>
            </w:r>
          </w:p>
        </w:tc>
        <w:tc>
          <w:tcPr>
            <w:tcW w:w="1417" w:type="dxa"/>
            <w:noWrap w:val="0"/>
            <w:vAlign w:val="top"/>
          </w:tcPr>
          <w:p>
            <w:pPr>
              <w:spacing w:line="440" w:lineRule="exact"/>
              <w:jc w:val="right"/>
              <w:rPr>
                <w:rFonts w:eastAsia="仿宋"/>
                <w:sz w:val="18"/>
                <w:szCs w:val="18"/>
              </w:rPr>
            </w:pPr>
            <w:r>
              <w:rPr>
                <w:rFonts w:hint="eastAsia" w:eastAsia="仿宋"/>
                <w:sz w:val="18"/>
                <w:szCs w:val="18"/>
              </w:rPr>
              <w:t>4,754,513.77</w:t>
            </w:r>
          </w:p>
        </w:tc>
        <w:tc>
          <w:tcPr>
            <w:tcW w:w="1418" w:type="dxa"/>
            <w:noWrap w:val="0"/>
            <w:vAlign w:val="top"/>
          </w:tcPr>
          <w:p>
            <w:pPr>
              <w:spacing w:line="440" w:lineRule="exact"/>
              <w:jc w:val="right"/>
              <w:rPr>
                <w:rFonts w:eastAsia="仿宋"/>
                <w:sz w:val="18"/>
                <w:szCs w:val="18"/>
              </w:rPr>
            </w:pPr>
            <w:r>
              <w:rPr>
                <w:rFonts w:hint="eastAsia" w:eastAsia="仿宋"/>
                <w:sz w:val="18"/>
                <w:szCs w:val="18"/>
              </w:rPr>
              <w:t>5,269,239.39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eastAsia="仿宋"/>
                <w:sz w:val="18"/>
                <w:szCs w:val="18"/>
              </w:rPr>
            </w:pPr>
            <w:r>
              <w:rPr>
                <w:rFonts w:eastAsia="仿宋"/>
                <w:sz w:val="18"/>
                <w:szCs w:val="18"/>
              </w:rPr>
              <w:t>2、应冲减成本的收入</w:t>
            </w:r>
          </w:p>
        </w:tc>
        <w:tc>
          <w:tcPr>
            <w:tcW w:w="1417" w:type="dxa"/>
            <w:noWrap w:val="0"/>
            <w:vAlign w:val="center"/>
          </w:tcPr>
          <w:p>
            <w:pPr>
              <w:spacing w:line="440" w:lineRule="exact"/>
              <w:jc w:val="right"/>
              <w:rPr>
                <w:rFonts w:eastAsia="仿宋"/>
                <w:sz w:val="18"/>
                <w:szCs w:val="18"/>
              </w:rPr>
            </w:pPr>
            <w:r>
              <w:rPr>
                <w:rFonts w:hint="eastAsia" w:eastAsia="仿宋"/>
                <w:sz w:val="18"/>
                <w:szCs w:val="18"/>
              </w:rPr>
              <w:t>0.00</w:t>
            </w:r>
          </w:p>
        </w:tc>
        <w:tc>
          <w:tcPr>
            <w:tcW w:w="1418" w:type="dxa"/>
            <w:noWrap w:val="0"/>
            <w:vAlign w:val="center"/>
          </w:tcPr>
          <w:p>
            <w:pPr>
              <w:spacing w:line="440" w:lineRule="exact"/>
              <w:jc w:val="right"/>
              <w:rPr>
                <w:rFonts w:eastAsia="仿宋"/>
                <w:sz w:val="18"/>
                <w:szCs w:val="18"/>
              </w:rPr>
            </w:pPr>
            <w:r>
              <w:rPr>
                <w:rFonts w:hint="eastAsia" w:eastAsia="仿宋"/>
                <w:sz w:val="18"/>
                <w:szCs w:val="18"/>
              </w:rPr>
              <w:t>0.00</w:t>
            </w:r>
          </w:p>
        </w:tc>
        <w:tc>
          <w:tcPr>
            <w:tcW w:w="1417" w:type="dxa"/>
            <w:noWrap w:val="0"/>
            <w:vAlign w:val="center"/>
          </w:tcPr>
          <w:p>
            <w:pPr>
              <w:spacing w:line="440" w:lineRule="exact"/>
              <w:jc w:val="right"/>
              <w:rPr>
                <w:rFonts w:eastAsia="仿宋"/>
                <w:sz w:val="18"/>
                <w:szCs w:val="18"/>
              </w:rPr>
            </w:pPr>
            <w:r>
              <w:rPr>
                <w:rFonts w:hint="eastAsia" w:eastAsia="仿宋"/>
                <w:sz w:val="18"/>
                <w:szCs w:val="18"/>
              </w:rPr>
              <w:t>0.00</w:t>
            </w:r>
          </w:p>
        </w:tc>
        <w:tc>
          <w:tcPr>
            <w:tcW w:w="1418" w:type="dxa"/>
            <w:noWrap w:val="0"/>
            <w:vAlign w:val="center"/>
          </w:tcPr>
          <w:p>
            <w:pPr>
              <w:spacing w:line="440" w:lineRule="exact"/>
              <w:jc w:val="right"/>
              <w:rPr>
                <w:rFonts w:eastAsia="仿宋"/>
                <w:sz w:val="18"/>
                <w:szCs w:val="18"/>
              </w:rPr>
            </w:pPr>
            <w:r>
              <w:rPr>
                <w:rFonts w:hint="eastAsia" w:eastAsia="仿宋"/>
                <w:sz w:val="18"/>
                <w:szCs w:val="18"/>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802" w:type="dxa"/>
            <w:noWrap w:val="0"/>
            <w:vAlign w:val="top"/>
          </w:tcPr>
          <w:p>
            <w:pPr>
              <w:spacing w:line="440" w:lineRule="exact"/>
              <w:rPr>
                <w:rFonts w:eastAsia="仿宋"/>
                <w:sz w:val="18"/>
                <w:szCs w:val="18"/>
              </w:rPr>
            </w:pPr>
            <w:r>
              <w:rPr>
                <w:rFonts w:eastAsia="仿宋"/>
                <w:sz w:val="18"/>
                <w:szCs w:val="18"/>
              </w:rPr>
              <w:t>3、配气总成本</w:t>
            </w:r>
          </w:p>
        </w:tc>
        <w:tc>
          <w:tcPr>
            <w:tcW w:w="1417" w:type="dxa"/>
            <w:noWrap w:val="0"/>
            <w:vAlign w:val="top"/>
          </w:tcPr>
          <w:p>
            <w:pPr>
              <w:spacing w:line="440" w:lineRule="exact"/>
              <w:jc w:val="right"/>
              <w:rPr>
                <w:rFonts w:eastAsia="仿宋"/>
                <w:sz w:val="18"/>
                <w:szCs w:val="18"/>
              </w:rPr>
            </w:pPr>
            <w:r>
              <w:rPr>
                <w:rFonts w:hint="eastAsia" w:eastAsia="仿宋"/>
                <w:sz w:val="18"/>
                <w:szCs w:val="18"/>
              </w:rPr>
              <w:t>5,294,504.51</w:t>
            </w:r>
          </w:p>
        </w:tc>
        <w:tc>
          <w:tcPr>
            <w:tcW w:w="1418" w:type="dxa"/>
            <w:noWrap w:val="0"/>
            <w:vAlign w:val="top"/>
          </w:tcPr>
          <w:p>
            <w:pPr>
              <w:spacing w:line="440" w:lineRule="exact"/>
              <w:jc w:val="right"/>
              <w:rPr>
                <w:rFonts w:eastAsia="仿宋"/>
                <w:sz w:val="18"/>
                <w:szCs w:val="18"/>
              </w:rPr>
            </w:pPr>
            <w:r>
              <w:rPr>
                <w:rFonts w:hint="eastAsia" w:eastAsia="仿宋"/>
                <w:sz w:val="18"/>
                <w:szCs w:val="18"/>
              </w:rPr>
              <w:t>5,758,699.83</w:t>
            </w:r>
          </w:p>
        </w:tc>
        <w:tc>
          <w:tcPr>
            <w:tcW w:w="1417" w:type="dxa"/>
            <w:noWrap w:val="0"/>
            <w:vAlign w:val="top"/>
          </w:tcPr>
          <w:p>
            <w:pPr>
              <w:spacing w:line="440" w:lineRule="exact"/>
              <w:jc w:val="right"/>
              <w:rPr>
                <w:rFonts w:eastAsia="仿宋"/>
                <w:sz w:val="18"/>
                <w:szCs w:val="18"/>
              </w:rPr>
            </w:pPr>
            <w:r>
              <w:rPr>
                <w:rFonts w:hint="eastAsia" w:eastAsia="仿宋"/>
                <w:sz w:val="18"/>
                <w:szCs w:val="18"/>
              </w:rPr>
              <w:t>4,754,513.77</w:t>
            </w:r>
          </w:p>
        </w:tc>
        <w:tc>
          <w:tcPr>
            <w:tcW w:w="1418" w:type="dxa"/>
            <w:noWrap w:val="0"/>
            <w:vAlign w:val="top"/>
          </w:tcPr>
          <w:p>
            <w:pPr>
              <w:spacing w:line="440" w:lineRule="exact"/>
              <w:jc w:val="right"/>
              <w:rPr>
                <w:rFonts w:eastAsia="仿宋"/>
                <w:sz w:val="18"/>
                <w:szCs w:val="18"/>
              </w:rPr>
            </w:pPr>
            <w:r>
              <w:rPr>
                <w:rFonts w:hint="eastAsia" w:eastAsia="仿宋"/>
                <w:sz w:val="18"/>
                <w:szCs w:val="18"/>
              </w:rPr>
              <w:t>5,269,239.39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eastAsia="仿宋"/>
                <w:sz w:val="18"/>
                <w:szCs w:val="18"/>
              </w:rPr>
            </w:pPr>
            <w:r>
              <w:rPr>
                <w:rFonts w:eastAsia="仿宋"/>
                <w:sz w:val="18"/>
                <w:szCs w:val="18"/>
              </w:rPr>
              <w:t>4、核定年配送气量</w:t>
            </w:r>
          </w:p>
        </w:tc>
        <w:tc>
          <w:tcPr>
            <w:tcW w:w="1417" w:type="dxa"/>
            <w:noWrap w:val="0"/>
            <w:vAlign w:val="top"/>
          </w:tcPr>
          <w:p>
            <w:pPr>
              <w:spacing w:line="440" w:lineRule="exact"/>
              <w:jc w:val="right"/>
              <w:rPr>
                <w:rFonts w:eastAsia="仿宋"/>
                <w:sz w:val="18"/>
                <w:szCs w:val="18"/>
              </w:rPr>
            </w:pPr>
            <w:r>
              <w:rPr>
                <w:rFonts w:hint="eastAsia" w:eastAsia="仿宋"/>
                <w:sz w:val="18"/>
                <w:szCs w:val="18"/>
              </w:rPr>
              <w:t>16,635,272.75</w:t>
            </w:r>
          </w:p>
        </w:tc>
        <w:tc>
          <w:tcPr>
            <w:tcW w:w="1418" w:type="dxa"/>
            <w:noWrap w:val="0"/>
            <w:vAlign w:val="top"/>
          </w:tcPr>
          <w:p>
            <w:pPr>
              <w:spacing w:line="440" w:lineRule="exact"/>
              <w:jc w:val="right"/>
              <w:rPr>
                <w:rFonts w:eastAsia="仿宋"/>
                <w:sz w:val="18"/>
                <w:szCs w:val="18"/>
              </w:rPr>
            </w:pPr>
            <w:r>
              <w:rPr>
                <w:rFonts w:hint="eastAsia" w:eastAsia="仿宋"/>
                <w:sz w:val="18"/>
                <w:szCs w:val="18"/>
              </w:rPr>
              <w:t>15,119,074.58</w:t>
            </w:r>
          </w:p>
        </w:tc>
        <w:tc>
          <w:tcPr>
            <w:tcW w:w="1417" w:type="dxa"/>
            <w:noWrap w:val="0"/>
            <w:vAlign w:val="top"/>
          </w:tcPr>
          <w:p>
            <w:pPr>
              <w:spacing w:line="440" w:lineRule="exact"/>
              <w:jc w:val="right"/>
              <w:rPr>
                <w:rFonts w:eastAsia="仿宋"/>
                <w:sz w:val="18"/>
                <w:szCs w:val="18"/>
              </w:rPr>
            </w:pPr>
            <w:r>
              <w:rPr>
                <w:rFonts w:hint="eastAsia" w:eastAsia="仿宋"/>
                <w:sz w:val="18"/>
                <w:szCs w:val="18"/>
              </w:rPr>
              <w:t>15,771,240.40</w:t>
            </w:r>
          </w:p>
        </w:tc>
        <w:tc>
          <w:tcPr>
            <w:tcW w:w="1418" w:type="dxa"/>
            <w:noWrap w:val="0"/>
            <w:vAlign w:val="top"/>
          </w:tcPr>
          <w:p>
            <w:pPr>
              <w:spacing w:line="440" w:lineRule="exact"/>
              <w:jc w:val="right"/>
              <w:rPr>
                <w:rFonts w:eastAsia="仿宋"/>
                <w:sz w:val="18"/>
                <w:szCs w:val="18"/>
              </w:rPr>
            </w:pPr>
            <w:r>
              <w:rPr>
                <w:rFonts w:hint="eastAsia" w:eastAsia="仿宋"/>
                <w:sz w:val="18"/>
                <w:szCs w:val="18"/>
              </w:rPr>
              <w:t>15,841,862.58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spacing w:line="440" w:lineRule="exact"/>
              <w:rPr>
                <w:rFonts w:eastAsia="仿宋"/>
                <w:sz w:val="18"/>
                <w:szCs w:val="18"/>
              </w:rPr>
            </w:pPr>
            <w:r>
              <w:rPr>
                <w:rFonts w:eastAsia="仿宋"/>
                <w:sz w:val="18"/>
                <w:szCs w:val="18"/>
              </w:rPr>
              <w:t>5、单位配气成本</w:t>
            </w:r>
          </w:p>
        </w:tc>
        <w:tc>
          <w:tcPr>
            <w:tcW w:w="1417" w:type="dxa"/>
            <w:noWrap w:val="0"/>
            <w:vAlign w:val="top"/>
          </w:tcPr>
          <w:p>
            <w:pPr>
              <w:spacing w:line="440" w:lineRule="exact"/>
              <w:jc w:val="right"/>
              <w:rPr>
                <w:rFonts w:eastAsia="仿宋"/>
                <w:sz w:val="18"/>
                <w:szCs w:val="18"/>
              </w:rPr>
            </w:pPr>
            <w:r>
              <w:rPr>
                <w:rFonts w:hint="eastAsia" w:eastAsia="仿宋"/>
                <w:sz w:val="18"/>
                <w:szCs w:val="18"/>
              </w:rPr>
              <w:t>0.32</w:t>
            </w:r>
          </w:p>
        </w:tc>
        <w:tc>
          <w:tcPr>
            <w:tcW w:w="1418" w:type="dxa"/>
            <w:noWrap w:val="0"/>
            <w:vAlign w:val="top"/>
          </w:tcPr>
          <w:p>
            <w:pPr>
              <w:spacing w:line="440" w:lineRule="exact"/>
              <w:jc w:val="right"/>
              <w:rPr>
                <w:rFonts w:eastAsia="仿宋"/>
                <w:sz w:val="18"/>
                <w:szCs w:val="18"/>
              </w:rPr>
            </w:pPr>
            <w:r>
              <w:rPr>
                <w:rFonts w:hint="eastAsia" w:eastAsia="仿宋"/>
                <w:sz w:val="18"/>
                <w:szCs w:val="18"/>
              </w:rPr>
              <w:t>0.38</w:t>
            </w:r>
          </w:p>
        </w:tc>
        <w:tc>
          <w:tcPr>
            <w:tcW w:w="1417" w:type="dxa"/>
            <w:noWrap w:val="0"/>
            <w:vAlign w:val="top"/>
          </w:tcPr>
          <w:p>
            <w:pPr>
              <w:spacing w:line="440" w:lineRule="exact"/>
              <w:jc w:val="right"/>
              <w:rPr>
                <w:rFonts w:eastAsia="仿宋"/>
                <w:sz w:val="18"/>
                <w:szCs w:val="18"/>
              </w:rPr>
            </w:pPr>
            <w:r>
              <w:rPr>
                <w:rFonts w:hint="eastAsia" w:eastAsia="仿宋"/>
                <w:sz w:val="18"/>
                <w:szCs w:val="18"/>
              </w:rPr>
              <w:t>0.30</w:t>
            </w:r>
          </w:p>
        </w:tc>
        <w:tc>
          <w:tcPr>
            <w:tcW w:w="1418" w:type="dxa"/>
            <w:noWrap w:val="0"/>
            <w:vAlign w:val="top"/>
          </w:tcPr>
          <w:p>
            <w:pPr>
              <w:spacing w:line="440" w:lineRule="exact"/>
              <w:jc w:val="right"/>
              <w:rPr>
                <w:rFonts w:eastAsia="仿宋"/>
                <w:sz w:val="18"/>
                <w:szCs w:val="18"/>
              </w:rPr>
            </w:pPr>
            <w:r>
              <w:rPr>
                <w:rFonts w:hint="eastAsia" w:eastAsia="仿宋"/>
                <w:sz w:val="18"/>
                <w:szCs w:val="18"/>
              </w:rPr>
              <w:t>0.33</w:t>
            </w:r>
          </w:p>
        </w:tc>
      </w:tr>
    </w:tbl>
    <w:p>
      <w:pPr>
        <w:keepNext w:val="0"/>
        <w:keepLines w:val="0"/>
        <w:pageBreakBefore w:val="0"/>
        <w:widowControl/>
        <w:kinsoku/>
        <w:wordWrap/>
        <w:overflowPunct/>
        <w:topLinePunct w:val="0"/>
        <w:bidi w:val="0"/>
        <w:adjustRightInd/>
        <w:snapToGrid/>
        <w:spacing w:after="0" w:afterLines="0" w:line="240" w:lineRule="auto"/>
        <w:ind w:firstLine="640" w:firstLineChars="200"/>
        <w:textAlignment w:val="center"/>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二、</w:t>
      </w:r>
      <w:r>
        <w:rPr>
          <w:rFonts w:hint="default" w:ascii="黑体" w:hAnsi="黑体" w:eastAsia="黑体" w:cs="黑体"/>
          <w:sz w:val="32"/>
          <w:szCs w:val="32"/>
          <w:lang w:eastAsia="zh-CN"/>
        </w:rPr>
        <w:t>焉耆县安升燃气有限责任公司管道燃气配气价格定</w:t>
      </w:r>
      <w:r>
        <w:rPr>
          <w:rFonts w:hint="eastAsia" w:ascii="黑体" w:hAnsi="黑体" w:eastAsia="黑体" w:cs="黑体"/>
          <w:sz w:val="32"/>
          <w:szCs w:val="32"/>
          <w:lang w:eastAsia="zh-CN"/>
        </w:rPr>
        <w:t>价</w:t>
      </w:r>
      <w:r>
        <w:rPr>
          <w:rFonts w:hint="default" w:ascii="黑体" w:hAnsi="黑体" w:eastAsia="黑体" w:cs="黑体"/>
          <w:sz w:val="32"/>
          <w:szCs w:val="32"/>
          <w:lang w:eastAsia="zh-CN"/>
        </w:rPr>
        <w:t>成本</w:t>
      </w:r>
      <w:r>
        <w:rPr>
          <w:rFonts w:hint="eastAsia" w:ascii="黑体" w:hAnsi="黑体" w:eastAsia="黑体" w:cs="黑体"/>
          <w:sz w:val="32"/>
          <w:szCs w:val="32"/>
          <w:lang w:eastAsia="zh-CN"/>
        </w:rPr>
        <w:t>监审结论</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firstLine="640" w:firstLineChars="200"/>
        <w:textAlignment w:val="auto"/>
        <w:outlineLvl w:val="9"/>
        <w:rPr>
          <w:rFonts w:hint="default" w:ascii="方正仿宋_GBK" w:hAnsi="方正仿宋_GBK" w:eastAsia="方正仿宋_GBK" w:cs="方正仿宋_GBK"/>
          <w:color w:val="auto"/>
          <w:sz w:val="32"/>
          <w:szCs w:val="32"/>
          <w:lang w:val="en-US" w:eastAsia="zh-CN"/>
        </w:rPr>
      </w:pPr>
      <w:r>
        <w:rPr>
          <w:rFonts w:hint="default" w:ascii="Times New Roman" w:hAnsi="Times New Roman" w:eastAsia="方正仿宋_GBK" w:cs="Times New Roman"/>
          <w:color w:val="auto"/>
          <w:sz w:val="32"/>
          <w:szCs w:val="32"/>
        </w:rPr>
        <w:t>2020-2022年焉耆县安升燃气有限责任公司管道燃气单位配气成本为0.38元/方。</w:t>
      </w:r>
    </w:p>
    <w:tbl>
      <w:tblPr>
        <w:tblStyle w:val="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1230"/>
        <w:gridCol w:w="1335"/>
        <w:gridCol w:w="1395"/>
        <w:gridCol w:w="19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center"/>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项</w:t>
            </w:r>
            <w:r>
              <w:rPr>
                <w:rFonts w:hint="eastAsia" w:ascii="Times New Roman" w:hAnsi="Times New Roman" w:eastAsia="仿宋" w:cs="Times New Roman"/>
                <w:color w:val="auto"/>
                <w:sz w:val="18"/>
                <w:szCs w:val="18"/>
                <w:lang w:val="en-US" w:eastAsia="zh-CN"/>
              </w:rPr>
              <w:t xml:space="preserve">  </w:t>
            </w:r>
            <w:r>
              <w:rPr>
                <w:rFonts w:hint="default" w:ascii="Times New Roman" w:hAnsi="Times New Roman" w:eastAsia="仿宋" w:cs="Times New Roman"/>
                <w:color w:val="auto"/>
                <w:sz w:val="18"/>
                <w:szCs w:val="18"/>
              </w:rPr>
              <w:t>目</w:t>
            </w:r>
          </w:p>
        </w:tc>
        <w:tc>
          <w:tcPr>
            <w:tcW w:w="1230"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center"/>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2020年</w:t>
            </w:r>
          </w:p>
        </w:tc>
        <w:tc>
          <w:tcPr>
            <w:tcW w:w="1335"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center"/>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2021年</w:t>
            </w:r>
          </w:p>
        </w:tc>
        <w:tc>
          <w:tcPr>
            <w:tcW w:w="1395"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center"/>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2022年</w:t>
            </w:r>
          </w:p>
        </w:tc>
        <w:tc>
          <w:tcPr>
            <w:tcW w:w="1901"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center"/>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2020年-2022年平均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lef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w:t>
            </w:r>
            <w:r>
              <w:rPr>
                <w:rFonts w:hint="default" w:ascii="Times New Roman" w:hAnsi="Times New Roman" w:eastAsia="仿宋" w:cs="Times New Roman"/>
                <w:color w:val="auto"/>
                <w:sz w:val="18"/>
                <w:szCs w:val="18"/>
                <w:lang w:val="en-US" w:eastAsia="zh-CN"/>
              </w:rPr>
              <w:t>.</w:t>
            </w:r>
            <w:r>
              <w:rPr>
                <w:rFonts w:hint="default" w:ascii="Times New Roman" w:hAnsi="Times New Roman" w:eastAsia="仿宋" w:cs="Times New Roman"/>
                <w:color w:val="auto"/>
                <w:sz w:val="18"/>
                <w:szCs w:val="18"/>
              </w:rPr>
              <w:t>折旧及摊销费和运行维护费</w:t>
            </w:r>
          </w:p>
        </w:tc>
        <w:tc>
          <w:tcPr>
            <w:tcW w:w="1230"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833,004.05</w:t>
            </w:r>
          </w:p>
        </w:tc>
        <w:tc>
          <w:tcPr>
            <w:tcW w:w="133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1,407,294.93</w:t>
            </w:r>
          </w:p>
        </w:tc>
        <w:tc>
          <w:tcPr>
            <w:tcW w:w="139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1,685,387.51</w:t>
            </w:r>
          </w:p>
        </w:tc>
        <w:tc>
          <w:tcPr>
            <w:tcW w:w="190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1,308,562.16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lef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w:t>
            </w:r>
            <w:r>
              <w:rPr>
                <w:rFonts w:hint="default" w:ascii="Times New Roman" w:hAnsi="Times New Roman" w:eastAsia="仿宋" w:cs="Times New Roman"/>
                <w:color w:val="auto"/>
                <w:sz w:val="18"/>
                <w:szCs w:val="18"/>
                <w:lang w:val="en-US" w:eastAsia="zh-CN"/>
              </w:rPr>
              <w:t>.</w:t>
            </w:r>
            <w:r>
              <w:rPr>
                <w:rFonts w:hint="default" w:ascii="Times New Roman" w:hAnsi="Times New Roman" w:eastAsia="仿宋" w:cs="Times New Roman"/>
                <w:color w:val="auto"/>
                <w:sz w:val="18"/>
                <w:szCs w:val="18"/>
              </w:rPr>
              <w:t>应冲减成本的收入</w:t>
            </w:r>
          </w:p>
        </w:tc>
        <w:tc>
          <w:tcPr>
            <w:tcW w:w="1230"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0.00</w:t>
            </w:r>
          </w:p>
        </w:tc>
        <w:tc>
          <w:tcPr>
            <w:tcW w:w="1335"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0.00</w:t>
            </w:r>
          </w:p>
        </w:tc>
        <w:tc>
          <w:tcPr>
            <w:tcW w:w="1395"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0.00</w:t>
            </w:r>
          </w:p>
        </w:tc>
        <w:tc>
          <w:tcPr>
            <w:tcW w:w="1901" w:type="dxa"/>
            <w:noWrap w:val="0"/>
            <w:vAlign w:val="center"/>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lef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3</w:t>
            </w:r>
            <w:r>
              <w:rPr>
                <w:rFonts w:hint="default" w:ascii="Times New Roman" w:hAnsi="Times New Roman" w:eastAsia="仿宋" w:cs="Times New Roman"/>
                <w:color w:val="auto"/>
                <w:sz w:val="18"/>
                <w:szCs w:val="18"/>
                <w:lang w:val="en-US" w:eastAsia="zh-CN"/>
              </w:rPr>
              <w:t>.</w:t>
            </w:r>
            <w:r>
              <w:rPr>
                <w:rFonts w:hint="default" w:ascii="Times New Roman" w:hAnsi="Times New Roman" w:eastAsia="仿宋" w:cs="Times New Roman"/>
                <w:color w:val="auto"/>
                <w:sz w:val="18"/>
                <w:szCs w:val="18"/>
              </w:rPr>
              <w:t>配气总成本</w:t>
            </w:r>
          </w:p>
        </w:tc>
        <w:tc>
          <w:tcPr>
            <w:tcW w:w="1230"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833,004.05</w:t>
            </w:r>
          </w:p>
        </w:tc>
        <w:tc>
          <w:tcPr>
            <w:tcW w:w="133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1,407,294.93</w:t>
            </w:r>
          </w:p>
        </w:tc>
        <w:tc>
          <w:tcPr>
            <w:tcW w:w="139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1,685,387.51</w:t>
            </w:r>
          </w:p>
        </w:tc>
        <w:tc>
          <w:tcPr>
            <w:tcW w:w="190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1,308,562.16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lef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4</w:t>
            </w:r>
            <w:r>
              <w:rPr>
                <w:rFonts w:hint="default" w:ascii="Times New Roman" w:hAnsi="Times New Roman" w:eastAsia="仿宋" w:cs="Times New Roman"/>
                <w:color w:val="auto"/>
                <w:sz w:val="18"/>
                <w:szCs w:val="18"/>
                <w:lang w:val="en-US" w:eastAsia="zh-CN"/>
              </w:rPr>
              <w:t>.</w:t>
            </w:r>
            <w:r>
              <w:rPr>
                <w:rFonts w:hint="default" w:ascii="Times New Roman" w:hAnsi="Times New Roman" w:eastAsia="仿宋" w:cs="Times New Roman"/>
                <w:color w:val="auto"/>
                <w:sz w:val="18"/>
                <w:szCs w:val="18"/>
              </w:rPr>
              <w:t>核定年配送气量</w:t>
            </w:r>
          </w:p>
        </w:tc>
        <w:tc>
          <w:tcPr>
            <w:tcW w:w="1230"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2,299,511.20</w:t>
            </w:r>
          </w:p>
        </w:tc>
        <w:tc>
          <w:tcPr>
            <w:tcW w:w="133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3,870,239.52</w:t>
            </w:r>
          </w:p>
        </w:tc>
        <w:tc>
          <w:tcPr>
            <w:tcW w:w="139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4,153,574.18</w:t>
            </w:r>
          </w:p>
        </w:tc>
        <w:tc>
          <w:tcPr>
            <w:tcW w:w="190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3,441,108.30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61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lef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5</w:t>
            </w:r>
            <w:r>
              <w:rPr>
                <w:rFonts w:hint="default" w:ascii="Times New Roman" w:hAnsi="Times New Roman" w:eastAsia="仿宋" w:cs="Times New Roman"/>
                <w:color w:val="auto"/>
                <w:sz w:val="18"/>
                <w:szCs w:val="18"/>
                <w:lang w:val="en-US" w:eastAsia="zh-CN"/>
              </w:rPr>
              <w:t>.</w:t>
            </w:r>
            <w:r>
              <w:rPr>
                <w:rFonts w:hint="default" w:ascii="Times New Roman" w:hAnsi="Times New Roman" w:eastAsia="仿宋" w:cs="Times New Roman"/>
                <w:color w:val="auto"/>
                <w:sz w:val="18"/>
                <w:szCs w:val="18"/>
              </w:rPr>
              <w:t>单位配气成本</w:t>
            </w:r>
          </w:p>
        </w:tc>
        <w:tc>
          <w:tcPr>
            <w:tcW w:w="1230"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0.36</w:t>
            </w:r>
          </w:p>
        </w:tc>
        <w:tc>
          <w:tcPr>
            <w:tcW w:w="133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0.36</w:t>
            </w:r>
          </w:p>
        </w:tc>
        <w:tc>
          <w:tcPr>
            <w:tcW w:w="1395"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0.41</w:t>
            </w:r>
          </w:p>
        </w:tc>
        <w:tc>
          <w:tcPr>
            <w:tcW w:w="1901" w:type="dxa"/>
            <w:noWrap w:val="0"/>
            <w:vAlign w:val="top"/>
          </w:tcPr>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jc w:val="right"/>
              <w:textAlignment w:val="auto"/>
              <w:outlineLvl w:val="9"/>
              <w:rPr>
                <w:rFonts w:hint="default" w:ascii="Times New Roman" w:hAnsi="Times New Roman" w:eastAsia="仿宋" w:cs="Times New Roman"/>
                <w:color w:val="auto"/>
                <w:sz w:val="18"/>
                <w:szCs w:val="18"/>
              </w:rPr>
            </w:pPr>
            <w:r>
              <w:rPr>
                <w:rFonts w:hint="default" w:ascii="Times New Roman" w:hAnsi="Times New Roman" w:eastAsia="仿宋" w:cs="Times New Roman"/>
                <w:color w:val="auto"/>
                <w:sz w:val="18"/>
                <w:szCs w:val="18"/>
              </w:rPr>
              <w:t>0.38</w:t>
            </w:r>
          </w:p>
        </w:tc>
      </w:tr>
    </w:tbl>
    <w:p/>
    <w:p/>
    <w:p/>
    <w:p/>
    <w:p/>
    <w:p/>
    <w:p>
      <w:pPr>
        <w:keepNext w:val="0"/>
        <w:keepLines w:val="0"/>
        <w:pageBreakBefore w:val="0"/>
        <w:widowControl w:val="0"/>
        <w:kinsoku/>
        <w:wordWrap/>
        <w:overflowPunct/>
        <w:topLinePunct w:val="0"/>
        <w:bidi w:val="0"/>
        <w:adjustRightInd/>
        <w:snapToGrid/>
        <w:spacing w:before="0" w:beforeLines="0" w:after="0" w:afterLines="0" w:line="240" w:lineRule="auto"/>
        <w:ind w:left="3578" w:leftChars="304" w:right="0" w:hanging="2940" w:hangingChars="1400"/>
        <w:textAlignment w:val="auto"/>
        <w:outlineLvl w:val="9"/>
        <w:rPr>
          <w:rFonts w:hint="default" w:ascii="Times New Roman" w:hAnsi="Times New Roman" w:eastAsia="方正仿宋_GBK" w:cs="Times New Roman"/>
          <w:color w:val="auto"/>
          <w:sz w:val="32"/>
          <w:szCs w:val="32"/>
          <w:lang w:val="en-US" w:eastAsia="zh-CN"/>
        </w:rPr>
      </w:pPr>
      <w:r>
        <w:rPr>
          <w:rFonts w:hint="eastAsia"/>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Dg4OWMwZDkzMzIxNDEzMjUwMjFiNTlkZjBiMTgifQ=="/>
  </w:docVars>
  <w:rsids>
    <w:rsidRoot w:val="24E3580A"/>
    <w:rsid w:val="24E3580A"/>
    <w:rsid w:val="5A5F753A"/>
    <w:rsid w:val="66BF115F"/>
    <w:rsid w:val="6EBB3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481</Words>
  <Characters>856</Characters>
  <Lines>0</Lines>
  <Paragraphs>0</Paragraphs>
  <TotalTime>4</TotalTime>
  <ScaleCrop>false</ScaleCrop>
  <LinksUpToDate>false</LinksUpToDate>
  <CharactersWithSpaces>928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2023-08-10T10:48:00Z</dcterms:created>
  <dc:creator>Administrator</dc:creator>
  <cp:lastModifiedBy>Administrator</cp:lastModifiedBy>
  <dcterms:modified xsi:type="dcterms:W3CDTF">2023-09-11T13:30:02Z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690071F6EA6F4C2DBAA10E3916D08D82_13</vt:lpwstr>
  </property>
</Properties>
</file>